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Fiche thématique</w:t>
      </w:r>
    </w:p>
    <w:p w:rsidR="00000000" w:rsidDel="00000000" w:rsidP="00000000" w:rsidRDefault="00000000" w:rsidRPr="00000000" w14:paraId="00000002">
      <w:pPr>
        <w:rPr>
          <w:b w:val="1"/>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8"/>
        <w:gridCol w:w="6694"/>
        <w:tblGridChange w:id="0">
          <w:tblGrid>
            <w:gridCol w:w="2518"/>
            <w:gridCol w:w="6694"/>
          </w:tblGrid>
        </w:tblGridChange>
      </w:tblGrid>
      <w:tr>
        <w:trPr>
          <w:cantSplit w:val="0"/>
          <w:tblHeader w:val="0"/>
        </w:trPr>
        <w:tc>
          <w:tcPr/>
          <w:p w:rsidR="00000000" w:rsidDel="00000000" w:rsidP="00000000" w:rsidRDefault="00000000" w:rsidRPr="00000000" w14:paraId="00000003">
            <w:pPr>
              <w:rPr>
                <w:b w:val="1"/>
              </w:rPr>
            </w:pPr>
            <w:r w:rsidDel="00000000" w:rsidR="00000000" w:rsidRPr="00000000">
              <w:rPr>
                <w:b w:val="1"/>
                <w:rtl w:val="0"/>
              </w:rPr>
              <w:t xml:space="preserve">Pôle </w:t>
            </w:r>
          </w:p>
        </w:tc>
        <w:tc>
          <w:tcPr/>
          <w:p w:rsidR="00000000" w:rsidDel="00000000" w:rsidP="00000000" w:rsidRDefault="00000000" w:rsidRPr="00000000" w14:paraId="00000004">
            <w:pPr>
              <w:rPr/>
            </w:pPr>
            <w:r w:rsidDel="00000000" w:rsidR="00000000" w:rsidRPr="00000000">
              <w:rPr>
                <w:rtl w:val="0"/>
              </w:rPr>
              <w:t xml:space="preserve">Promotion de l’Inclusion sociale</w:t>
            </w:r>
          </w:p>
          <w:p w:rsidR="00000000" w:rsidDel="00000000" w:rsidP="00000000" w:rsidRDefault="00000000" w:rsidRPr="00000000" w14:paraId="00000005">
            <w:pPr>
              <w:rPr/>
            </w:pPr>
            <w:r w:rsidDel="00000000" w:rsidR="00000000" w:rsidRPr="00000000">
              <w:rPr>
                <w:rtl w:val="0"/>
              </w:rPr>
            </w:r>
          </w:p>
        </w:tc>
      </w:tr>
      <w:tr>
        <w:trPr>
          <w:cantSplit w:val="0"/>
          <w:tblHeader w:val="0"/>
        </w:trPr>
        <w:tc>
          <w:tcPr/>
          <w:p w:rsidR="00000000" w:rsidDel="00000000" w:rsidP="00000000" w:rsidRDefault="00000000" w:rsidRPr="00000000" w14:paraId="00000006">
            <w:pPr>
              <w:rPr>
                <w:b w:val="1"/>
              </w:rPr>
            </w:pPr>
            <w:r w:rsidDel="00000000" w:rsidR="00000000" w:rsidRPr="00000000">
              <w:rPr>
                <w:b w:val="1"/>
                <w:rtl w:val="0"/>
              </w:rPr>
              <w:t xml:space="preserve">Thématique</w:t>
            </w:r>
          </w:p>
        </w:tc>
        <w:tc>
          <w:tcPr/>
          <w:p w:rsidR="00000000" w:rsidDel="00000000" w:rsidP="00000000" w:rsidRDefault="00000000" w:rsidRPr="00000000" w14:paraId="00000007">
            <w:pPr>
              <w:rPr/>
            </w:pPr>
            <w:r w:rsidDel="00000000" w:rsidR="00000000" w:rsidRPr="00000000">
              <w:rPr>
                <w:rtl w:val="0"/>
              </w:rPr>
              <w:t xml:space="preserve">Education, Formation, Insertion pour l’emploi</w:t>
            </w:r>
          </w:p>
          <w:p w:rsidR="00000000" w:rsidDel="00000000" w:rsidP="00000000" w:rsidRDefault="00000000" w:rsidRPr="00000000" w14:paraId="00000008">
            <w:pPr>
              <w:rPr/>
            </w:pPr>
            <w:r w:rsidDel="00000000" w:rsidR="00000000" w:rsidRPr="00000000">
              <w:rPr>
                <w:rtl w:val="0"/>
              </w:rPr>
            </w:r>
          </w:p>
        </w:tc>
      </w:tr>
      <w:tr>
        <w:trPr>
          <w:cantSplit w:val="0"/>
          <w:tblHeader w:val="0"/>
        </w:trPr>
        <w:tc>
          <w:tcPr/>
          <w:p w:rsidR="00000000" w:rsidDel="00000000" w:rsidP="00000000" w:rsidRDefault="00000000" w:rsidRPr="00000000" w14:paraId="00000009">
            <w:pPr>
              <w:rPr>
                <w:b w:val="1"/>
              </w:rPr>
            </w:pPr>
            <w:r w:rsidDel="00000000" w:rsidR="00000000" w:rsidRPr="00000000">
              <w:rPr>
                <w:b w:val="1"/>
                <w:rtl w:val="0"/>
              </w:rPr>
              <w:t xml:space="preserve">Notre engagement/Notre approche :</w:t>
            </w:r>
          </w:p>
        </w:tc>
        <w:tc>
          <w:tcPr/>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b w:val="1"/>
                <w:i w:val="1"/>
                <w:rtl w:val="0"/>
              </w:rPr>
              <w:t xml:space="preserve">Le développement humain est au cœur de notre engagement pour atteindre les ODD d’ici 2030, et en ne laissant personne de côté.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Réduire les vulnérabilités et faire des jeunes des citoyens engagés dans la vie socio-économique, en ne laissant personne de côté.</w:t>
            </w:r>
          </w:p>
          <w:p w:rsidR="00000000" w:rsidDel="00000000" w:rsidP="00000000" w:rsidRDefault="00000000" w:rsidRPr="00000000" w14:paraId="0000000E">
            <w:pPr>
              <w:rPr/>
            </w:pPr>
            <w:r w:rsidDel="00000000" w:rsidR="00000000" w:rsidRPr="00000000">
              <w:rPr>
                <w:rtl w:val="0"/>
              </w:rPr>
              <w:t xml:space="preserve">ODD1-ODD4-ODD5- ODD8 - ODD10 (logos)</w:t>
            </w:r>
          </w:p>
          <w:p w:rsidR="00000000" w:rsidDel="00000000" w:rsidP="00000000" w:rsidRDefault="00000000" w:rsidRPr="00000000" w14:paraId="0000000F">
            <w:pPr>
              <w:rPr/>
            </w:pPr>
            <w:r w:rsidDel="00000000" w:rsidR="00000000" w:rsidRPr="00000000">
              <w:rPr>
                <w:rtl w:val="0"/>
              </w:rPr>
            </w:r>
          </w:p>
        </w:tc>
      </w:tr>
      <w:tr>
        <w:trPr>
          <w:cantSplit w:val="0"/>
          <w:tblHeader w:val="0"/>
        </w:trPr>
        <w:tc>
          <w:tcPr/>
          <w:p w:rsidR="00000000" w:rsidDel="00000000" w:rsidP="00000000" w:rsidRDefault="00000000" w:rsidRPr="00000000" w14:paraId="00000010">
            <w:pPr>
              <w:rPr>
                <w:b w:val="1"/>
              </w:rPr>
            </w:pPr>
            <w:r w:rsidDel="00000000" w:rsidR="00000000" w:rsidRPr="00000000">
              <w:rPr>
                <w:b w:val="1"/>
                <w:rtl w:val="0"/>
              </w:rPr>
              <w:t xml:space="preserve">Les enjeux auxquels nous répondons </w:t>
            </w:r>
          </w:p>
        </w:tc>
        <w:tc>
          <w:tcPr/>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jc w:val="both"/>
              <w:rPr>
                <w:b w:val="1"/>
                <w:i w:val="1"/>
              </w:rPr>
            </w:pPr>
            <w:r w:rsidDel="00000000" w:rsidR="00000000" w:rsidRPr="00000000">
              <w:rPr>
                <w:b w:val="1"/>
                <w:i w:val="1"/>
                <w:rtl w:val="0"/>
              </w:rPr>
              <w:t xml:space="preserve">L’éducation et la formation tout au long de la vie sont l’une des clés pour la construction de sociétés plus justes et plus durables, ainsi qu’un effet levier important sur l’égalisation des chances et la réduction de la pauvreté. Instruire, donner des compétences aux filles et aux garçons, c’est leur donner la possibilité de faire des choix, et de les rendre autonomes et de les mener au seuil de la vie active en leur donnant accès à un travail décent.</w:t>
            </w:r>
          </w:p>
          <w:p w:rsidR="00000000" w:rsidDel="00000000" w:rsidP="00000000" w:rsidRDefault="00000000" w:rsidRPr="00000000" w14:paraId="00000013">
            <w:pPr>
              <w:jc w:val="both"/>
              <w:rPr>
                <w:b w:val="1"/>
                <w:i w:val="1"/>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t xml:space="preserve">Afin de contribuer à l’essor économique, social, et environnemental de nos pays partenaires, l’APEFE soutient la mise en place de partenariats mutuellement profitables pour l’accompagnement des politiques et stratégies en éducation et le développement des compétences pour l’emploi. </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i w:val="1"/>
                <w:color w:val="212121"/>
                <w:highlight w:val="white"/>
              </w:rPr>
            </w:pPr>
            <w:r w:rsidDel="00000000" w:rsidR="00000000" w:rsidRPr="00000000">
              <w:rPr>
                <w:rtl w:val="0"/>
              </w:rPr>
              <w:t xml:space="preserve">A travers ses actions en éducation  et formation, l’APEFE contribue à </w:t>
            </w:r>
            <w:r w:rsidDel="00000000" w:rsidR="00000000" w:rsidRPr="00000000">
              <w:rPr>
                <w:i w:val="1"/>
                <w:color w:val="212121"/>
                <w:rtl w:val="0"/>
              </w:rPr>
              <w:t xml:space="preserve"> ”</w:t>
            </w:r>
            <w:r w:rsidDel="00000000" w:rsidR="00000000" w:rsidRPr="00000000">
              <w:rPr>
                <w:i w:val="0"/>
                <w:color w:val="212121"/>
                <w:highlight w:val="white"/>
                <w:rtl w:val="0"/>
              </w:rPr>
              <w:t xml:space="preserve">assurer l’accès de tous à une éducation de qualité, sur un pied d’égalité, et promou</w:t>
            </w:r>
            <w:r w:rsidDel="00000000" w:rsidR="00000000" w:rsidRPr="00000000">
              <w:rPr>
                <w:color w:val="212121"/>
                <w:highlight w:val="white"/>
                <w:rtl w:val="0"/>
              </w:rPr>
              <w:t xml:space="preserve">voir des possibilités d’apprentissage tout au long de la vie”</w:t>
            </w:r>
            <w:r w:rsidDel="00000000" w:rsidR="00000000" w:rsidRPr="00000000">
              <w:rPr>
                <w:i w:val="1"/>
                <w:color w:val="212121"/>
                <w:rtl w:val="0"/>
              </w:rPr>
              <w:t xml:space="preserve"> </w:t>
            </w:r>
            <w:r w:rsidDel="00000000" w:rsidR="00000000" w:rsidRPr="00000000">
              <w:rPr>
                <w:i w:val="1"/>
                <w:color w:val="212121"/>
                <w:highlight w:val="white"/>
                <w:rtl w:val="0"/>
              </w:rPr>
              <w:t xml:space="preserve"> (ODD4)</w:t>
            </w:r>
            <w:r w:rsidDel="00000000" w:rsidR="00000000" w:rsidRPr="00000000">
              <w:rPr>
                <w:color w:val="212121"/>
                <w:highlight w:val="white"/>
                <w:rtl w:val="0"/>
              </w:rPr>
              <w:t xml:space="preserve"> par </w:t>
            </w:r>
            <w:r w:rsidDel="00000000" w:rsidR="00000000" w:rsidRPr="00000000">
              <w:rPr>
                <w:rtl w:val="0"/>
              </w:rPr>
              <w:t xml:space="preserve">la mise en place d’un environnement sûr et stimulant pour les enfants et les jeunes</w:t>
            </w:r>
            <w:r w:rsidDel="00000000" w:rsidR="00000000" w:rsidRPr="00000000">
              <w:rPr>
                <w:i w:val="1"/>
                <w:color w:val="212121"/>
                <w:highlight w:val="white"/>
                <w:rtl w:val="0"/>
              </w:rPr>
              <w:t xml:space="preserve">,</w:t>
            </w:r>
            <w:r w:rsidDel="00000000" w:rsidR="00000000" w:rsidRPr="00000000">
              <w:rPr>
                <w:color w:val="212121"/>
                <w:highlight w:val="white"/>
                <w:rtl w:val="0"/>
              </w:rPr>
              <w:t xml:space="preserve"> à l’égalité des sexes (ODD5) et la réduction des inégalités (ODD10)</w:t>
            </w:r>
            <w:r w:rsidDel="00000000" w:rsidR="00000000" w:rsidRPr="00000000">
              <w:rPr>
                <w:i w:val="1"/>
                <w:color w:val="212121"/>
                <w:highlight w:val="white"/>
                <w:rtl w:val="0"/>
              </w:rPr>
              <w:t xml:space="preserve"> </w:t>
            </w:r>
            <w:r w:rsidDel="00000000" w:rsidR="00000000" w:rsidRPr="00000000">
              <w:rPr>
                <w:color w:val="212121"/>
                <w:highlight w:val="white"/>
                <w:rtl w:val="0"/>
              </w:rPr>
              <w:t xml:space="preserve">par</w:t>
            </w:r>
            <w:r w:rsidDel="00000000" w:rsidR="00000000" w:rsidRPr="00000000">
              <w:rPr>
                <w:i w:val="1"/>
                <w:color w:val="212121"/>
                <w:highlight w:val="white"/>
                <w:rtl w:val="0"/>
              </w:rPr>
              <w:t xml:space="preserve"> </w:t>
            </w:r>
            <w:r w:rsidDel="00000000" w:rsidR="00000000" w:rsidRPr="00000000">
              <w:rPr>
                <w:rtl w:val="0"/>
              </w:rPr>
              <w:t xml:space="preserve">la promotion de l’autonomisation des femmes, des jeunes et des personnes vulnérables ou marginalisées et à “promouvoir une croissance économique soutenue, partagée et durable et un travail décent pour tous” </w:t>
            </w:r>
            <w:r w:rsidDel="00000000" w:rsidR="00000000" w:rsidRPr="00000000">
              <w:rPr>
                <w:i w:val="1"/>
                <w:color w:val="212121"/>
                <w:highlight w:val="white"/>
                <w:rtl w:val="0"/>
              </w:rPr>
              <w:t xml:space="preserve">(</w:t>
            </w:r>
            <w:r w:rsidDel="00000000" w:rsidR="00000000" w:rsidRPr="00000000">
              <w:rPr>
                <w:i w:val="1"/>
                <w:rtl w:val="0"/>
              </w:rPr>
              <w:t xml:space="preserve">ODD8)</w:t>
            </w:r>
            <w:r w:rsidDel="00000000" w:rsidR="00000000" w:rsidRPr="00000000">
              <w:rPr>
                <w:i w:val="1"/>
                <w:color w:val="212121"/>
                <w:highlight w:val="white"/>
                <w:rtl w:val="0"/>
              </w:rPr>
              <w:t xml:space="preserve">. </w:t>
            </w:r>
          </w:p>
          <w:p w:rsidR="00000000" w:rsidDel="00000000" w:rsidP="00000000" w:rsidRDefault="00000000" w:rsidRPr="00000000" w14:paraId="00000017">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018">
            <w:pPr>
              <w:rPr>
                <w:b w:val="1"/>
              </w:rPr>
            </w:pPr>
            <w:r w:rsidDel="00000000" w:rsidR="00000000" w:rsidRPr="00000000">
              <w:rPr>
                <w:b w:val="1"/>
                <w:rtl w:val="0"/>
              </w:rPr>
              <w:t xml:space="preserve">Notre savoir-faire</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(notre accompagnement technique)</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Listing de ce que l’on fait techniquement. </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Structurer notre savoir-faire en axes stratégiques d’intervention</w:t>
            </w:r>
          </w:p>
          <w:p w:rsidR="00000000" w:rsidDel="00000000" w:rsidP="00000000" w:rsidRDefault="00000000" w:rsidRPr="00000000" w14:paraId="0000001F">
            <w:pPr>
              <w:rPr>
                <w:b w:val="1"/>
              </w:rPr>
            </w:pPr>
            <w:r w:rsidDel="00000000" w:rsidR="00000000" w:rsidRPr="00000000">
              <w:rPr>
                <w:rtl w:val="0"/>
              </w:rPr>
            </w:r>
          </w:p>
        </w:tc>
        <w:tc>
          <w:tcPr/>
          <w:p w:rsidR="00000000" w:rsidDel="00000000" w:rsidP="00000000" w:rsidRDefault="00000000" w:rsidRPr="00000000" w14:paraId="00000020">
            <w:pPr>
              <w:rPr/>
            </w:pPr>
            <w:bookmarkStart w:colFirst="0" w:colLast="0" w:name="_heading=h.gjdgxs" w:id="0"/>
            <w:bookmarkEnd w:id="0"/>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t xml:space="preserve">L’APEFE poursuit l’objectif de promouvoir le développement de systèmes éducatifs performants, inclusifs, en adéquation avec le marché du travail et avec des possibilités d’apprentissage tout au long de la vie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Plus particulièrement, notre soutien est structuré autour de quatre axes d’intervention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i w:val="1"/>
              </w:rPr>
            </w:pPr>
            <w:r w:rsidDel="00000000" w:rsidR="00000000" w:rsidRPr="00000000">
              <w:rPr>
                <w:i w:val="1"/>
                <w:rtl w:val="0"/>
              </w:rPr>
              <w:t xml:space="preserve">Soutien aux stratégies et dispositifs pour </w:t>
            </w:r>
            <w:r w:rsidDel="00000000" w:rsidR="00000000" w:rsidRPr="00000000">
              <w:rPr>
                <w:b w:val="1"/>
                <w:i w:val="1"/>
                <w:rtl w:val="0"/>
              </w:rPr>
              <w:t xml:space="preserve">un accès à un enseignement de qualité</w:t>
            </w:r>
            <w:r w:rsidDel="00000000" w:rsidR="00000000" w:rsidRPr="00000000">
              <w:rPr>
                <w:i w:val="1"/>
                <w:rtl w:val="0"/>
              </w:rPr>
              <w:t xml:space="preserve"> par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développement humain et organisationnel : la formation des enseignants, la formation de formateurs, la formation de formateurs de formateurs du personnel d’encadrement et de direction ;</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développement de programmes de formation </w:t>
            </w:r>
            <w:r w:rsidDel="00000000" w:rsidR="00000000" w:rsidRPr="00000000">
              <w:rPr>
                <w:rtl w:val="0"/>
              </w:rPr>
              <w:t xml:space="preserve">( de l’éducation de base à l’enseignement supérieur)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et d’appui aux systèmes de certification ;</w:t>
            </w:r>
            <w:r w:rsidDel="00000000" w:rsidR="00000000" w:rsidRPr="00000000">
              <w:rPr>
                <w:rtl w:val="0"/>
              </w:rPr>
            </w:r>
          </w:p>
          <w:p w:rsidR="00000000" w:rsidDel="00000000" w:rsidP="00000000" w:rsidRDefault="00000000" w:rsidRPr="00000000" w14:paraId="00000028">
            <w:pPr>
              <w:rPr>
                <w:i w:val="1"/>
              </w:rPr>
            </w:pPr>
            <w:r w:rsidDel="00000000" w:rsidR="00000000" w:rsidRPr="00000000">
              <w:rPr>
                <w:i w:val="1"/>
                <w:rtl w:val="0"/>
              </w:rPr>
              <w:t xml:space="preserve">Soutien aux stratégies et </w:t>
            </w:r>
            <w:r w:rsidDel="00000000" w:rsidR="00000000" w:rsidRPr="00000000">
              <w:rPr>
                <w:b w:val="1"/>
                <w:i w:val="1"/>
                <w:rtl w:val="0"/>
              </w:rPr>
              <w:t xml:space="preserve">dispositifs de formation-emploi </w:t>
            </w:r>
            <w:r w:rsidDel="00000000" w:rsidR="00000000" w:rsidRPr="00000000">
              <w:rPr>
                <w:i w:val="1"/>
                <w:rtl w:val="0"/>
              </w:rPr>
              <w:t xml:space="preserve">par :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pilotage et la gouvernance des systèmes éducatifs : régulation, analyse des métiers porteurs, partenariat PPP, financement de la formation ;</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renforcement des collaborations entre le secteur de la formation et le marché du travail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L’appui au dispositif de systèmes d’apprentissage et de parcours de formation en alternance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L’appui au dispositif d’assurance qualité et d’évaluation de la performance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L’accompagnement à l’orientation et la formation professionnelle ;</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L’accompagnement et la formation de conseillers en insertion professionnelle et entrepreneuriat ;</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développement de programmes de formation et d’appui aux systèmes de certification ;</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i w:val="1"/>
              </w:rPr>
            </w:pPr>
            <w:r w:rsidDel="00000000" w:rsidR="00000000" w:rsidRPr="00000000">
              <w:rPr>
                <w:i w:val="1"/>
                <w:rtl w:val="0"/>
              </w:rPr>
              <w:t xml:space="preserve">Soutien aux </w:t>
            </w:r>
            <w:r w:rsidDel="00000000" w:rsidR="00000000" w:rsidRPr="00000000">
              <w:rPr>
                <w:b w:val="1"/>
                <w:i w:val="1"/>
                <w:rtl w:val="0"/>
              </w:rPr>
              <w:t xml:space="preserve">stratégies d’inclusion</w:t>
            </w:r>
            <w:r w:rsidDel="00000000" w:rsidR="00000000" w:rsidRPr="00000000">
              <w:rPr>
                <w:i w:val="1"/>
                <w:rtl w:val="0"/>
              </w:rPr>
              <w:t xml:space="preserve"> en éducation et formation par :</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w:t>
            </w:r>
            <w:r w:rsidDel="00000000" w:rsidR="00000000" w:rsidRPr="00000000">
              <w:rPr>
                <w:rtl w:val="0"/>
              </w:rPr>
              <w:t xml:space="preserve">a lutte contre les violences basées sur le genre, l'extrémisme violent et les discriminations à l’école;</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tl w:val="0"/>
              </w:rPr>
              <w:t xml:space="preserve">L’accompagnement à l’intégration dans les systèmes éducatifs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des </w:t>
            </w:r>
            <w:r w:rsidDel="00000000" w:rsidR="00000000" w:rsidRPr="00000000">
              <w:rPr>
                <w:i w:val="0"/>
                <w:smallCaps w:val="0"/>
                <w:strike w:val="0"/>
                <w:color w:val="000000"/>
                <w:sz w:val="22"/>
                <w:szCs w:val="22"/>
                <w:u w:val="none"/>
                <w:shd w:fill="auto" w:val="clear"/>
                <w:vertAlign w:val="baseline"/>
                <w:rtl w:val="0"/>
              </w:rPr>
              <w:t xml:space="preserve">personnes les plus vulnérables ou margin</w:t>
            </w:r>
            <w:r w:rsidDel="00000000" w:rsidR="00000000" w:rsidRPr="00000000">
              <w:rPr>
                <w:rtl w:val="0"/>
              </w:rPr>
              <w:t xml:space="preserve">alisées y compris les filles,  les personnes handicapées, les migrants et les personnes déplacées;</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L’accompagnement à l’intégration de l’environnement et des questions climatiques</w:t>
            </w:r>
            <w:r w:rsidDel="00000000" w:rsidR="00000000" w:rsidRPr="00000000">
              <w:rPr>
                <w:rtl w:val="0"/>
              </w:rPr>
              <w:t xml:space="preserve"> dans les parcours de formation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pPr>
            <w:r w:rsidDel="00000000" w:rsidR="00000000" w:rsidRPr="00000000">
              <w:rPr>
                <w:rtl w:val="0"/>
              </w:rPr>
            </w:r>
          </w:p>
          <w:p w:rsidR="00000000" w:rsidDel="00000000" w:rsidP="00000000" w:rsidRDefault="00000000" w:rsidRPr="00000000" w14:paraId="00000036">
            <w:pPr>
              <w:rPr>
                <w:i w:val="1"/>
              </w:rPr>
            </w:pPr>
            <w:r w:rsidDel="00000000" w:rsidR="00000000" w:rsidRPr="00000000">
              <w:rPr>
                <w:i w:val="1"/>
                <w:rtl w:val="0"/>
              </w:rPr>
              <w:t xml:space="preserve">Soutien aux stratégies en </w:t>
            </w:r>
            <w:r w:rsidDel="00000000" w:rsidR="00000000" w:rsidRPr="00000000">
              <w:rPr>
                <w:b w:val="1"/>
                <w:i w:val="1"/>
                <w:rtl w:val="0"/>
              </w:rPr>
              <w:t xml:space="preserve">recherche et innovation </w:t>
            </w:r>
            <w:r w:rsidDel="00000000" w:rsidR="00000000" w:rsidRPr="00000000">
              <w:rPr>
                <w:i w:val="1"/>
                <w:rtl w:val="0"/>
              </w:rPr>
              <w:t xml:space="preserve">en éducation et formation par :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L’accompagnement de dispositifs de formation E-learning et du digital for education;</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L’accompagnement de dispositifs d’accrochage scolaire et le développement d’outils d’aide à la réussite ;</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développement de parcours spécifiques dans les domaines de l’entrepreneuriat et des « soft skills ».</w:t>
            </w:r>
            <w:r w:rsidDel="00000000" w:rsidR="00000000" w:rsidRPr="00000000">
              <w:rPr>
                <w:rtl w:val="0"/>
              </w:rPr>
            </w:r>
          </w:p>
        </w:tc>
      </w:tr>
      <w:tr>
        <w:trPr>
          <w:cantSplit w:val="0"/>
          <w:tblHeader w:val="0"/>
        </w:trPr>
        <w:tc>
          <w:tcPr/>
          <w:p w:rsidR="00000000" w:rsidDel="00000000" w:rsidP="00000000" w:rsidRDefault="00000000" w:rsidRPr="00000000" w14:paraId="0000003A">
            <w:pPr>
              <w:rPr>
                <w:b w:val="1"/>
              </w:rPr>
            </w:pPr>
            <w:r w:rsidDel="00000000" w:rsidR="00000000" w:rsidRPr="00000000">
              <w:rPr>
                <w:b w:val="1"/>
                <w:rtl w:val="0"/>
              </w:rPr>
              <w:t xml:space="preserve">Nos atouts </w:t>
            </w:r>
          </w:p>
        </w:tc>
        <w:tc>
          <w:tcPr/>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Mobilisation de l’expertise locale et internationale</w:t>
            </w:r>
          </w:p>
          <w:p w:rsidR="00000000" w:rsidDel="00000000" w:rsidP="00000000" w:rsidRDefault="00000000" w:rsidRPr="00000000" w14:paraId="0000003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 partenariats mutuellement profitables</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tl w:val="0"/>
              </w:rPr>
              <w:t xml:space="preserve">Recherche et innovation</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tl w:val="0"/>
              </w:rPr>
              <w:t xml:space="preserv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obilisation de réseaux, outils &amp; méthodes</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Management de la qualité dans le suivi-évaluation-apprentissage des programmes -MEAL</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Parcours spécifique et prise en compte des thématiques transversales : genre, inclusion, environnement, droits des enfants, travail décent, numérique, etc.</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Approche systémique, et participative pour un accompagnement sur mesure adapté au contexte</w:t>
            </w:r>
          </w:p>
        </w:tc>
      </w:tr>
      <w:tr>
        <w:trPr>
          <w:cantSplit w:val="0"/>
          <w:tblHeader w:val="0"/>
        </w:trPr>
        <w:tc>
          <w:tcPr/>
          <w:p w:rsidR="00000000" w:rsidDel="00000000" w:rsidP="00000000" w:rsidRDefault="00000000" w:rsidRPr="00000000" w14:paraId="00000043">
            <w:pPr>
              <w:rPr>
                <w:b w:val="1"/>
              </w:rPr>
            </w:pPr>
            <w:r w:rsidDel="00000000" w:rsidR="00000000" w:rsidRPr="00000000">
              <w:rPr>
                <w:b w:val="1"/>
                <w:rtl w:val="0"/>
              </w:rPr>
              <w:t xml:space="preserve">Nos expériences</w:t>
            </w:r>
          </w:p>
          <w:p w:rsidR="00000000" w:rsidDel="00000000" w:rsidP="00000000" w:rsidRDefault="00000000" w:rsidRPr="00000000" w14:paraId="00000044">
            <w:pPr>
              <w:rPr>
                <w:b w:val="1"/>
              </w:rPr>
            </w:pPr>
            <w:r w:rsidDel="00000000" w:rsidR="00000000" w:rsidRPr="00000000">
              <w:rPr>
                <w:b w:val="1"/>
                <w:rtl w:val="0"/>
              </w:rPr>
              <w:t xml:space="preserve">2 à 3 expériences pertinentes</w:t>
            </w:r>
          </w:p>
        </w:tc>
        <w:tc>
          <w:tcPr/>
          <w:p w:rsidR="00000000" w:rsidDel="00000000" w:rsidP="00000000" w:rsidRDefault="00000000" w:rsidRPr="00000000" w14:paraId="00000045">
            <w:pPr>
              <w:rPr>
                <w:b w:val="1"/>
              </w:rPr>
            </w:pPr>
            <w:r w:rsidDel="00000000" w:rsidR="00000000" w:rsidRPr="00000000">
              <w:rPr>
                <w:b w:val="1"/>
                <w:rtl w:val="0"/>
              </w:rPr>
              <w:t xml:space="preserve">La formation continue des enseignants à distance – IFADEM (logo IFADEM)</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(1photo+1logo+4 lignes explicatives+QR code de la fiche programme)</w:t>
            </w:r>
          </w:p>
          <w:p w:rsidR="00000000" w:rsidDel="00000000" w:rsidP="00000000" w:rsidRDefault="00000000" w:rsidRPr="00000000" w14:paraId="00000048">
            <w:pPr>
              <w:rPr>
                <w:highlight w:val="yellow"/>
              </w:rPr>
            </w:pPr>
            <w:r w:rsidDel="00000000" w:rsidR="00000000" w:rsidRPr="00000000">
              <w:rPr>
                <w:rtl w:val="0"/>
              </w:rPr>
            </w:r>
          </w:p>
          <w:p w:rsidR="00000000" w:rsidDel="00000000" w:rsidP="00000000" w:rsidRDefault="00000000" w:rsidRPr="00000000" w14:paraId="00000049">
            <w:pPr>
              <w:rPr/>
            </w:pPr>
            <w:r w:rsidDel="00000000" w:rsidR="00000000" w:rsidRPr="00000000">
              <w:rPr>
                <w:highlight w:val="yellow"/>
                <w:rtl w:val="0"/>
              </w:rPr>
              <w:t xml:space="preserve">Logos :</w:t>
            </w:r>
            <w:r w:rsidDel="00000000" w:rsidR="00000000" w:rsidRPr="00000000">
              <w:rPr>
                <w:rtl w:val="0"/>
              </w:rPr>
              <w:t xml:space="preserve"> Ministère RDC, SEN, BN, APEFE, OIF, AUF, IFEF, DGD, WBI</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u w:val="single"/>
              </w:rPr>
            </w:pPr>
            <w:r w:rsidDel="00000000" w:rsidR="00000000" w:rsidRPr="00000000">
              <w:rPr>
                <w:u w:val="single"/>
                <w:rtl w:val="0"/>
              </w:rPr>
              <w:t xml:space="preserve">Pays-Date-budget</w:t>
            </w:r>
          </w:p>
          <w:p w:rsidR="00000000" w:rsidDel="00000000" w:rsidP="00000000" w:rsidRDefault="00000000" w:rsidRPr="00000000" w14:paraId="0000004C">
            <w:pPr>
              <w:rPr/>
            </w:pPr>
            <w:r w:rsidDel="00000000" w:rsidR="00000000" w:rsidRPr="00000000">
              <w:rPr>
                <w:rtl w:val="0"/>
              </w:rPr>
              <w:t xml:space="preserve">Sénégal, République Démocratique du Congo, Bénin, 2022-2026, 5.800.000 euros</w:t>
            </w:r>
          </w:p>
          <w:p w:rsidR="00000000" w:rsidDel="00000000" w:rsidP="00000000" w:rsidRDefault="00000000" w:rsidRPr="00000000" w14:paraId="0000004D">
            <w:pPr>
              <w:rPr>
                <w:u w:val="single"/>
              </w:rPr>
            </w:pPr>
            <w:r w:rsidDel="00000000" w:rsidR="00000000" w:rsidRPr="00000000">
              <w:rPr>
                <w:u w:val="single"/>
                <w:rtl w:val="0"/>
              </w:rPr>
              <w:t xml:space="preserve">Description</w:t>
            </w:r>
          </w:p>
          <w:p w:rsidR="00000000" w:rsidDel="00000000" w:rsidP="00000000" w:rsidRDefault="00000000" w:rsidRPr="00000000" w14:paraId="0000004E">
            <w:pPr>
              <w:jc w:val="both"/>
              <w:rPr/>
            </w:pPr>
            <w:r w:rsidDel="00000000" w:rsidR="00000000" w:rsidRPr="00000000">
              <w:rPr>
                <w:rtl w:val="0"/>
              </w:rPr>
              <w:t xml:space="preserve">Depuis 2011, l’APEFE appuie l’Initiative Francophone de Formation des Maîtres à Distance (IFADEM). Ces interventions ont permis d’introduire des méthodologies innovantes pour former et améliorer les pratiques professionnelles des enseignant(e)s auprès des élèves, notamment par la mise en place d’un dispositif hybride en E-learning . En RDC, ce sont plus de 8 000 enseignant(e)s qui ont été formé(e)s et plus de 320000 élèves par an qui sont touché(e)s par ce dispositif. En janvier 2022, l’APEFE a démarré de nouvelles interventions IFADEM en RDC, au Sénégal, ainsi que l’ouverture du dispositif au Bénin.  Ces nouveaux programmes mettront également l’accent sur l’amélioration de l’environnement d’apprentissage afin qu’il soit de qualité, inclusif, sûr et propice au développement des enfants, en particulier des filles et des plus vulnérables. </w:t>
            </w:r>
          </w:p>
          <w:p w:rsidR="00000000" w:rsidDel="00000000" w:rsidP="00000000" w:rsidRDefault="00000000" w:rsidRPr="00000000" w14:paraId="0000004F">
            <w:pPr>
              <w:rPr/>
            </w:pPr>
            <w:r w:rsidDel="00000000" w:rsidR="00000000" w:rsidRPr="00000000">
              <w:rPr>
                <w:rtl w:val="0"/>
              </w:rPr>
            </w:r>
          </w:p>
        </w:tc>
      </w:tr>
      <w:tr>
        <w:trPr>
          <w:cantSplit w:val="0"/>
          <w:tblHeader w:val="0"/>
        </w:trPr>
        <w:tc>
          <w:tcPr/>
          <w:p w:rsidR="00000000" w:rsidDel="00000000" w:rsidP="00000000" w:rsidRDefault="00000000" w:rsidRPr="00000000" w14:paraId="00000050">
            <w:pPr>
              <w:rPr>
                <w:b w:val="1"/>
              </w:rPr>
            </w:pPr>
            <w:r w:rsidDel="00000000" w:rsidR="00000000" w:rsidRPr="00000000">
              <w:rPr>
                <w:rtl w:val="0"/>
              </w:rPr>
            </w:r>
          </w:p>
        </w:tc>
        <w:tc>
          <w:tcPr/>
          <w:p w:rsidR="00000000" w:rsidDel="00000000" w:rsidP="00000000" w:rsidRDefault="00000000" w:rsidRPr="00000000" w14:paraId="00000051">
            <w:pPr>
              <w:rPr>
                <w:b w:val="1"/>
              </w:rPr>
            </w:pPr>
            <w:r w:rsidDel="00000000" w:rsidR="00000000" w:rsidRPr="00000000">
              <w:rPr>
                <w:b w:val="1"/>
                <w:rtl w:val="0"/>
              </w:rPr>
              <w:t xml:space="preserve">La formation duale au Rwanda - Programme d’appui à l’apprentissage sur le lieu de travail et à la création d’emplois décents (pas encore de Logo) et au Sénégal Défi-Archipelago (Logo ARCHIPELAGO)</w:t>
            </w:r>
          </w:p>
          <w:p w:rsidR="00000000" w:rsidDel="00000000" w:rsidP="00000000" w:rsidRDefault="00000000" w:rsidRPr="00000000" w14:paraId="00000052">
            <w:pPr>
              <w:rPr/>
            </w:pPr>
            <w:r w:rsidDel="00000000" w:rsidR="00000000" w:rsidRPr="00000000">
              <w:rPr>
                <w:rtl w:val="0"/>
              </w:rPr>
              <w:t xml:space="preserve">(1photo+1logo+4 lignes explicatives+QR code de la fiche programme)</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highlight w:val="yellow"/>
                <w:rtl w:val="0"/>
              </w:rPr>
              <w:t xml:space="preserve">Logos :</w:t>
            </w:r>
            <w:r w:rsidDel="00000000" w:rsidR="00000000" w:rsidRPr="00000000">
              <w:rPr>
                <w:rtl w:val="0"/>
              </w:rPr>
              <w:t xml:space="preserve"> Ministère, DGD, WBI, UE</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u w:val="single"/>
              </w:rPr>
            </w:pPr>
            <w:r w:rsidDel="00000000" w:rsidR="00000000" w:rsidRPr="00000000">
              <w:rPr>
                <w:u w:val="single"/>
                <w:rtl w:val="0"/>
              </w:rPr>
              <w:t xml:space="preserve">Pays-Date-budget</w:t>
            </w:r>
          </w:p>
          <w:p w:rsidR="00000000" w:rsidDel="00000000" w:rsidP="00000000" w:rsidRDefault="00000000" w:rsidRPr="00000000" w14:paraId="00000057">
            <w:pPr>
              <w:rPr/>
            </w:pPr>
            <w:r w:rsidDel="00000000" w:rsidR="00000000" w:rsidRPr="00000000">
              <w:rPr>
                <w:rtl w:val="0"/>
              </w:rPr>
              <w:t xml:space="preserve">Rwanda, </w:t>
            </w:r>
            <w:r w:rsidDel="00000000" w:rsidR="00000000" w:rsidRPr="00000000">
              <w:rPr>
                <w:highlight w:val="green"/>
                <w:rtl w:val="0"/>
              </w:rPr>
              <w:t xml:space="preserve">nom projet,</w:t>
            </w:r>
            <w:r w:rsidDel="00000000" w:rsidR="00000000" w:rsidRPr="00000000">
              <w:rPr>
                <w:rtl w:val="0"/>
              </w:rPr>
              <w:t xml:space="preserve">  2017-2026, </w:t>
            </w:r>
            <w:r w:rsidDel="00000000" w:rsidR="00000000" w:rsidRPr="00000000">
              <w:rPr>
                <w:highlight w:val="green"/>
                <w:rtl w:val="0"/>
              </w:rPr>
              <w:t xml:space="preserve">budget ?</w:t>
            </w:r>
            <w:r w:rsidDel="00000000" w:rsidR="00000000" w:rsidRPr="00000000">
              <w:rPr>
                <w:rtl w:val="0"/>
              </w:rPr>
              <w:t xml:space="preserve"> – Sénégal, Défi-Archipelago, 2020-2022, 600.000 euros</w:t>
            </w:r>
          </w:p>
          <w:p w:rsidR="00000000" w:rsidDel="00000000" w:rsidP="00000000" w:rsidRDefault="00000000" w:rsidRPr="00000000" w14:paraId="00000058">
            <w:pPr>
              <w:jc w:val="both"/>
              <w:rPr>
                <w:u w:val="single"/>
              </w:rPr>
            </w:pPr>
            <w:r w:rsidDel="00000000" w:rsidR="00000000" w:rsidRPr="00000000">
              <w:rPr>
                <w:u w:val="single"/>
                <w:rtl w:val="0"/>
              </w:rPr>
              <w:t xml:space="preserve">Description</w:t>
            </w:r>
          </w:p>
          <w:p w:rsidR="00000000" w:rsidDel="00000000" w:rsidP="00000000" w:rsidRDefault="00000000" w:rsidRPr="00000000" w14:paraId="00000059">
            <w:pPr>
              <w:jc w:val="both"/>
              <w:rPr/>
            </w:pPr>
            <w:r w:rsidDel="00000000" w:rsidR="00000000" w:rsidRPr="00000000">
              <w:rPr>
                <w:rtl w:val="0"/>
              </w:rPr>
              <w:t xml:space="preserve">Depuis 2017, au Rwanda et au Sénégal, l’APEFE développe des programmes d’appui à la mise en place de systèmes de formation duale et de parcours en alternance afin de préparer les jeunes aux opportunités économiques futures dans des filières et métiers porteurs en termes de création de richesses et d’emplois, en meilleure adéquation avec les besoins en compétences du secteur privé. L’APEFE appuie notamment le déploiement d’un mécanisme organisant les formations duales, impliquant les différentes parties prenantes et renforçant la démarche d'interactions constantes entre les entreprises et les centres de formation professionnelle, ainsi que le partenariat public/privé (PPT). Sur la base de cette approche, les interventions portent sur le continuum partant de la formation et des compétences et conduisant à l’emploi par le biais de dispositifs de formation en alternance, de formation en entrepreneuriat et soft skills et d’insertion professionnelle.</w:t>
            </w:r>
          </w:p>
        </w:tc>
      </w:tr>
      <w:tr>
        <w:trPr>
          <w:cantSplit w:val="0"/>
          <w:tblHeader w:val="0"/>
        </w:trPr>
        <w:tc>
          <w:tcPr/>
          <w:p w:rsidR="00000000" w:rsidDel="00000000" w:rsidP="00000000" w:rsidRDefault="00000000" w:rsidRPr="00000000" w14:paraId="0000005A">
            <w:pPr>
              <w:rPr>
                <w:b w:val="1"/>
              </w:rPr>
            </w:pPr>
            <w:r w:rsidDel="00000000" w:rsidR="00000000" w:rsidRPr="00000000">
              <w:rPr>
                <w:rtl w:val="0"/>
              </w:rPr>
            </w:r>
          </w:p>
        </w:tc>
        <w:tc>
          <w:tcPr/>
          <w:p w:rsidR="00000000" w:rsidDel="00000000" w:rsidP="00000000" w:rsidRDefault="00000000" w:rsidRPr="00000000" w14:paraId="0000005B">
            <w:pPr>
              <w:rPr>
                <w:b w:val="1"/>
              </w:rPr>
            </w:pPr>
            <w:r w:rsidDel="00000000" w:rsidR="00000000" w:rsidRPr="00000000">
              <w:rPr>
                <w:b w:val="1"/>
                <w:rtl w:val="0"/>
              </w:rPr>
              <w:t xml:space="preserve">Soutien au développement de l’offre universitaire  Licence-Master-Doctorat (LMD) dans le secteur des soins paramédicaux</w:t>
            </w:r>
          </w:p>
          <w:p w:rsidR="00000000" w:rsidDel="00000000" w:rsidP="00000000" w:rsidRDefault="00000000" w:rsidRPr="00000000" w14:paraId="0000005C">
            <w:pPr>
              <w:rPr/>
            </w:pPr>
            <w:r w:rsidDel="00000000" w:rsidR="00000000" w:rsidRPr="00000000">
              <w:rPr>
                <w:rtl w:val="0"/>
              </w:rPr>
              <w:t xml:space="preserve">(1photo+1logo+4 lignes explicatives+QR code de la fiche programme)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Logos : Ministère, APEFE, DGD, WBI, UCL</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u w:val="single"/>
              </w:rPr>
            </w:pPr>
            <w:r w:rsidDel="00000000" w:rsidR="00000000" w:rsidRPr="00000000">
              <w:rPr>
                <w:u w:val="single"/>
                <w:rtl w:val="0"/>
              </w:rPr>
              <w:t xml:space="preserve">Pays-Date-budget</w:t>
            </w:r>
          </w:p>
          <w:p w:rsidR="00000000" w:rsidDel="00000000" w:rsidP="00000000" w:rsidRDefault="00000000" w:rsidRPr="00000000" w14:paraId="00000061">
            <w:pPr>
              <w:rPr/>
            </w:pPr>
            <w:r w:rsidDel="00000000" w:rsidR="00000000" w:rsidRPr="00000000">
              <w:rPr>
                <w:rtl w:val="0"/>
              </w:rPr>
              <w:t xml:space="preserve">Bénin, Burkina Faso, Burundi</w:t>
            </w:r>
          </w:p>
          <w:p w:rsidR="00000000" w:rsidDel="00000000" w:rsidP="00000000" w:rsidRDefault="00000000" w:rsidRPr="00000000" w14:paraId="00000062">
            <w:pPr>
              <w:rPr/>
            </w:pPr>
            <w:r w:rsidDel="00000000" w:rsidR="00000000" w:rsidRPr="00000000">
              <w:rPr>
                <w:rtl w:val="0"/>
              </w:rPr>
              <w:t xml:space="preserve">Depuis plus de 20 ans, l’APEFE soutient le développement de l’offre universitaire dans le secteur des soins paramédicaux, et notamment en Kinésithérapie et réadaptation en collaboration avec l’Université Catholique de Louvain (UCL):</w:t>
            </w:r>
          </w:p>
          <w:p w:rsidR="00000000" w:rsidDel="00000000" w:rsidP="00000000" w:rsidRDefault="00000000" w:rsidRPr="00000000" w14:paraId="00000063">
            <w:pPr>
              <w:rPr/>
            </w:pPr>
            <w:r w:rsidDel="00000000" w:rsidR="00000000" w:rsidRPr="00000000">
              <w:rPr>
                <w:rtl w:val="0"/>
              </w:rPr>
              <w:t xml:space="preserve">■ appui à la création de la Licence et du Master en Kinésithérapie à la Faculté de Sciences de la Santé de l’UAC de Cotonou;</w:t>
            </w:r>
          </w:p>
          <w:p w:rsidR="00000000" w:rsidDel="00000000" w:rsidP="00000000" w:rsidRDefault="00000000" w:rsidRPr="00000000" w14:paraId="00000064">
            <w:pPr>
              <w:rPr/>
            </w:pPr>
            <w:r w:rsidDel="00000000" w:rsidR="00000000" w:rsidRPr="00000000">
              <w:rPr>
                <w:rtl w:val="0"/>
              </w:rPr>
              <w:t xml:space="preserve">■ appui à la création de la Licence et du Master en soins infirmières et sages femmes à l’institut National (INMES) de Cotonou,</w:t>
            </w:r>
          </w:p>
          <w:p w:rsidR="00000000" w:rsidDel="00000000" w:rsidP="00000000" w:rsidRDefault="00000000" w:rsidRPr="00000000" w14:paraId="00000065">
            <w:pPr>
              <w:rPr/>
            </w:pPr>
            <w:r w:rsidDel="00000000" w:rsidR="00000000" w:rsidRPr="00000000">
              <w:rPr>
                <w:rtl w:val="0"/>
              </w:rPr>
              <w:t xml:space="preserve">■ appui à la création de la Licence en Kinésithérapie et Réadaptation à l’Institut National de Santé Public (INSP) de Bujumbura - Burundi</w:t>
            </w:r>
          </w:p>
          <w:p w:rsidR="00000000" w:rsidDel="00000000" w:rsidP="00000000" w:rsidRDefault="00000000" w:rsidRPr="00000000" w14:paraId="00000066">
            <w:pPr>
              <w:rPr/>
            </w:pPr>
            <w:r w:rsidDel="00000000" w:rsidR="00000000" w:rsidRPr="00000000">
              <w:rPr>
                <w:rtl w:val="0"/>
              </w:rPr>
              <w:t xml:space="preserve">■ appui à la création de la Licence en Kinésithérapie et Réadaptation à l’Ecole Nationale de Santé Publique (ENSP) - Burkina Faso</w:t>
            </w:r>
          </w:p>
          <w:p w:rsidR="00000000" w:rsidDel="00000000" w:rsidP="00000000" w:rsidRDefault="00000000" w:rsidRPr="00000000" w14:paraId="00000067">
            <w:pPr>
              <w:rPr>
                <w:u w:val="single"/>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tc>
      </w:tr>
      <w:tr>
        <w:trPr>
          <w:cantSplit w:val="0"/>
          <w:tblHeader w:val="0"/>
        </w:trPr>
        <w:tc>
          <w:tcPr/>
          <w:p w:rsidR="00000000" w:rsidDel="00000000" w:rsidP="00000000" w:rsidRDefault="00000000" w:rsidRPr="00000000" w14:paraId="00000069">
            <w:pPr>
              <w:rPr>
                <w:b w:val="1"/>
              </w:rPr>
            </w:pPr>
            <w:r w:rsidDel="00000000" w:rsidR="00000000" w:rsidRPr="00000000">
              <w:rPr>
                <w:b w:val="1"/>
                <w:rtl w:val="0"/>
              </w:rPr>
              <w:t xml:space="preserve">OU ( à choisir) – ou bien fiche entrepreneuriat des jeunes</w:t>
            </w:r>
          </w:p>
        </w:tc>
        <w:tc>
          <w:tcPr/>
          <w:p w:rsidR="00000000" w:rsidDel="00000000" w:rsidP="00000000" w:rsidRDefault="00000000" w:rsidRPr="00000000" w14:paraId="0000006A">
            <w:pPr>
              <w:rPr>
                <w:b w:val="1"/>
              </w:rPr>
            </w:pPr>
            <w:r w:rsidDel="00000000" w:rsidR="00000000" w:rsidRPr="00000000">
              <w:rPr>
                <w:b w:val="1"/>
                <w:rtl w:val="0"/>
              </w:rPr>
              <w:t xml:space="preserve">L’insertion des jeunes vulnérables à l’emploi et l’auto-emploi – PACERD (logo du PACERD)</w:t>
            </w:r>
          </w:p>
          <w:p w:rsidR="00000000" w:rsidDel="00000000" w:rsidP="00000000" w:rsidRDefault="00000000" w:rsidRPr="00000000" w14:paraId="0000006B">
            <w:pPr>
              <w:rPr/>
            </w:pPr>
            <w:r w:rsidDel="00000000" w:rsidR="00000000" w:rsidRPr="00000000">
              <w:rPr>
                <w:rtl w:val="0"/>
              </w:rPr>
              <w:t xml:space="preserve">(1photo+1logo+4 lignes explicatives+QR code de la fiche programme)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Logos : Ministère, INFP, DGD, WBI, APEFE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u w:val="single"/>
              </w:rPr>
            </w:pPr>
            <w:r w:rsidDel="00000000" w:rsidR="00000000" w:rsidRPr="00000000">
              <w:rPr>
                <w:u w:val="single"/>
                <w:rtl w:val="0"/>
              </w:rPr>
              <w:t xml:space="preserve">Pays-Date-budget</w:t>
            </w:r>
          </w:p>
          <w:p w:rsidR="00000000" w:rsidDel="00000000" w:rsidP="00000000" w:rsidRDefault="00000000" w:rsidRPr="00000000" w14:paraId="00000070">
            <w:pPr>
              <w:rPr/>
            </w:pPr>
            <w:r w:rsidDel="00000000" w:rsidR="00000000" w:rsidRPr="00000000">
              <w:rPr>
                <w:rtl w:val="0"/>
              </w:rPr>
              <w:t xml:space="preserve">Haïti, 2012-2021, Budget</w:t>
            </w:r>
          </w:p>
          <w:p w:rsidR="00000000" w:rsidDel="00000000" w:rsidP="00000000" w:rsidRDefault="00000000" w:rsidRPr="00000000" w14:paraId="00000071">
            <w:pPr>
              <w:rPr>
                <w:u w:val="single"/>
              </w:rPr>
            </w:pPr>
            <w:r w:rsidDel="00000000" w:rsidR="00000000" w:rsidRPr="00000000">
              <w:rPr>
                <w:u w:val="single"/>
                <w:rtl w:val="0"/>
              </w:rPr>
              <w:t xml:space="preserve">Description : </w:t>
            </w:r>
          </w:p>
          <w:p w:rsidR="00000000" w:rsidDel="00000000" w:rsidP="00000000" w:rsidRDefault="00000000" w:rsidRPr="00000000" w14:paraId="00000072">
            <w:pPr>
              <w:jc w:val="both"/>
              <w:rPr/>
            </w:pPr>
            <w:r w:rsidDel="00000000" w:rsidR="00000000" w:rsidRPr="00000000">
              <w:rPr>
                <w:rtl w:val="0"/>
              </w:rPr>
              <w:t xml:space="preserve">A partir de 2012, en Haïti, l’APEFE a développé une approche innovante centrée sur la mise en place d’un dispositif de formation mobile et l’appui à l’insertion socioprofessionnelle en partenariat avec l’Institut National de la Formation Professionnelle (INFP). De 2017 à 2021, le Programme d’Appui à la Création d’Emplois et de Revenus Durables (PACERD) s’est centré sur la formation professionnelle et l’insertion à l’emploi et l’auto-emploi en appuyant des cellules d’orientation et de placement au sein des Centres de Formation Professionnelle (CFP), l’accompagnement à l’entrepreneuriat des jeunes, la mise en place de la formation e-learning et la promotion du genre et inclusion. </w:t>
            </w:r>
          </w:p>
          <w:p w:rsidR="00000000" w:rsidDel="00000000" w:rsidP="00000000" w:rsidRDefault="00000000" w:rsidRPr="00000000" w14:paraId="00000073">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074">
            <w:pPr>
              <w:rPr>
                <w:b w:val="1"/>
              </w:rPr>
            </w:pPr>
            <w:r w:rsidDel="00000000" w:rsidR="00000000" w:rsidRPr="00000000">
              <w:rPr>
                <w:b w:val="1"/>
                <w:rtl w:val="0"/>
              </w:rPr>
              <w:t xml:space="preserve">Nos partenaires et nos réseaux</w:t>
            </w:r>
          </w:p>
          <w:p w:rsidR="00000000" w:rsidDel="00000000" w:rsidP="00000000" w:rsidRDefault="00000000" w:rsidRPr="00000000" w14:paraId="00000075">
            <w:pPr>
              <w:rPr>
                <w:b w:val="1"/>
              </w:rPr>
            </w:pPr>
            <w:r w:rsidDel="00000000" w:rsidR="00000000" w:rsidRPr="00000000">
              <w:rPr>
                <w:rtl w:val="0"/>
              </w:rPr>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rPr>
            </w:pPr>
            <w:r w:rsidDel="00000000" w:rsidR="00000000" w:rsidRPr="00000000">
              <w:rPr>
                <w:rtl w:val="0"/>
              </w:rPr>
            </w:r>
          </w:p>
          <w:p w:rsidR="00000000" w:rsidDel="00000000" w:rsidP="00000000" w:rsidRDefault="00000000" w:rsidRPr="00000000" w14:paraId="0000007F">
            <w:pPr>
              <w:rPr>
                <w:b w:val="1"/>
              </w:rPr>
            </w:pPr>
            <w:r w:rsidDel="00000000" w:rsidR="00000000" w:rsidRPr="00000000">
              <w:rPr>
                <w:rtl w:val="0"/>
              </w:rPr>
            </w:r>
          </w:p>
          <w:p w:rsidR="00000000" w:rsidDel="00000000" w:rsidP="00000000" w:rsidRDefault="00000000" w:rsidRPr="00000000" w14:paraId="00000080">
            <w:pPr>
              <w:jc w:val="center"/>
              <w:rPr/>
            </w:pPr>
            <w:r w:rsidDel="00000000" w:rsidR="00000000" w:rsidRPr="00000000">
              <w:rPr>
                <w:rtl w:val="0"/>
              </w:rPr>
            </w:r>
          </w:p>
        </w:tc>
        <w:tc>
          <w:tcPr/>
          <w:p w:rsidR="00000000" w:rsidDel="00000000" w:rsidP="00000000" w:rsidRDefault="00000000" w:rsidRPr="00000000" w14:paraId="00000081">
            <w:pPr>
              <w:jc w:val="both"/>
              <w:rPr/>
            </w:pPr>
            <w:r w:rsidDel="00000000" w:rsidR="00000000" w:rsidRPr="00000000">
              <w:rPr>
                <w:rtl w:val="0"/>
              </w:rPr>
              <w:t xml:space="preserve">L’APEFE développe des alliances stratégiques avec les ministères et agences publiques/privées du secteur de l’éducation, de la formation et de l’emploi de ses pays partenaires dans le but de promouvoir, selon une approche multi-acteurs, des solutions et des stratégies innovantes, cohérentes et adaptées au contexte. </w:t>
            </w:r>
          </w:p>
          <w:p w:rsidR="00000000" w:rsidDel="00000000" w:rsidP="00000000" w:rsidRDefault="00000000" w:rsidRPr="00000000" w14:paraId="00000082">
            <w:pPr>
              <w:jc w:val="both"/>
              <w:rPr/>
            </w:pPr>
            <w:r w:rsidDel="00000000" w:rsidR="00000000" w:rsidRPr="00000000">
              <w:rPr>
                <w:rtl w:val="0"/>
              </w:rPr>
            </w:r>
          </w:p>
          <w:p w:rsidR="00000000" w:rsidDel="00000000" w:rsidP="00000000" w:rsidRDefault="00000000" w:rsidRPr="00000000" w14:paraId="00000083">
            <w:pPr>
              <w:jc w:val="both"/>
              <w:rPr/>
            </w:pPr>
            <w:r w:rsidDel="00000000" w:rsidR="00000000" w:rsidRPr="00000000">
              <w:rPr>
                <w:rtl w:val="0"/>
              </w:rPr>
              <w:t xml:space="preserve">Pour cela, l’APEFE s’appuie sur des partenariats stratégiques, opérationnels et financiers, ainsi que sur un large réseau d’experts du secteur public, privé, universitaire, de la société civile ou encore des organisations internationales dans le secteur de l’éducation, de la formation et de l’insertion pour l’emploi en Wallonie, en Belgique et dans le monde.</w:t>
            </w:r>
          </w:p>
          <w:p w:rsidR="00000000" w:rsidDel="00000000" w:rsidP="00000000" w:rsidRDefault="00000000" w:rsidRPr="00000000" w14:paraId="00000084">
            <w:pPr>
              <w:jc w:val="both"/>
              <w:rPr/>
            </w:pPr>
            <w:r w:rsidDel="00000000" w:rsidR="00000000" w:rsidRPr="00000000">
              <w:rPr>
                <w:rtl w:val="0"/>
              </w:rPr>
            </w:r>
          </w:p>
          <w:p w:rsidR="00000000" w:rsidDel="00000000" w:rsidP="00000000" w:rsidRDefault="00000000" w:rsidRPr="00000000" w14:paraId="00000085">
            <w:pPr>
              <w:rPr>
                <w:b w:val="1"/>
              </w:rPr>
            </w:pPr>
            <w:r w:rsidDel="00000000" w:rsidR="00000000" w:rsidRPr="00000000">
              <w:rPr>
                <w:b w:val="1"/>
                <w:rtl w:val="0"/>
              </w:rPr>
              <w:t xml:space="preserve">Les partenaires que nous soutenons :</w:t>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Ministère éducation, formation professionnelle, centre de formation, université : Bénin, RDC, Sénégal, Rwanda, Burundi, Burkina Faso</w:t>
            </w:r>
          </w:p>
          <w:p w:rsidR="00000000" w:rsidDel="00000000" w:rsidP="00000000" w:rsidRDefault="00000000" w:rsidRPr="00000000" w14:paraId="00000088">
            <w:pPr>
              <w:rPr/>
            </w:pPr>
            <w:r w:rsidDel="00000000" w:rsidR="00000000" w:rsidRPr="00000000">
              <w:rPr>
                <w:highlight w:val="yellow"/>
                <w:rtl w:val="0"/>
              </w:rPr>
              <w:t xml:space="preserve">Logos</w:t>
            </w:r>
            <w:r w:rsidDel="00000000" w:rsidR="00000000" w:rsidRPr="00000000">
              <w:rPr>
                <w:rtl w:val="0"/>
              </w:rPr>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pPr>
            <w:r w:rsidDel="00000000" w:rsidR="00000000" w:rsidRPr="00000000">
              <w:rPr>
                <w:b w:val="1"/>
                <w:rtl w:val="0"/>
              </w:rPr>
              <w:t xml:space="preserve">Les partenaires qui nous accompagnent</w:t>
            </w:r>
            <w:r w:rsidDel="00000000" w:rsidR="00000000" w:rsidRPr="00000000">
              <w:rPr>
                <w:rtl w:val="0"/>
              </w:rPr>
              <w:t xml:space="preserve">, </w:t>
            </w:r>
          </w:p>
          <w:sdt>
            <w:sdtPr>
              <w:tag w:val="goog_rdk_1"/>
            </w:sdtPr>
            <w:sdtContent>
              <w:p w:rsidR="00000000" w:rsidDel="00000000" w:rsidP="00000000" w:rsidRDefault="00000000" w:rsidRPr="00000000" w14:paraId="0000008B">
                <w:pPr>
                  <w:rPr>
                    <w:ins w:author="user" w:id="0" w:date="2022-05-21T17:25:00Z"/>
                  </w:rPr>
                </w:pPr>
                <w:r w:rsidDel="00000000" w:rsidR="00000000" w:rsidRPr="00000000">
                  <w:rPr>
                    <w:rtl w:val="0"/>
                  </w:rPr>
                  <w:t xml:space="preserve">FOREM, IFAPME, UCL, CCI Wallonie, ENABEL, ACTIRIS, VVOB, OIF, AUF, OFPPT, ARES, ONG BELGES</w:t>
                </w:r>
                <w:sdt>
                  <w:sdtPr>
                    <w:tag w:val="goog_rdk_0"/>
                  </w:sdtPr>
                  <w:sdtContent>
                    <w:ins w:author="user" w:id="0" w:date="2022-05-21T17:25:00Z">
                      <w:r w:rsidDel="00000000" w:rsidR="00000000" w:rsidRPr="00000000">
                        <w:rPr>
                          <w:rtl w:val="0"/>
                        </w:rPr>
                      </w:r>
                    </w:ins>
                  </w:sdtContent>
                </w:sdt>
              </w:p>
            </w:sdtContent>
          </w:sdt>
          <w:p w:rsidR="00000000" w:rsidDel="00000000" w:rsidP="00000000" w:rsidRDefault="00000000" w:rsidRPr="00000000" w14:paraId="0000008C">
            <w:pPr>
              <w:rPr/>
            </w:pPr>
            <w:sdt>
              <w:sdtPr>
                <w:tag w:val="goog_rdk_2"/>
              </w:sdtPr>
              <w:sdtContent>
                <w:ins w:author="user" w:id="0" w:date="2022-05-21T17:25:00Z">
                  <w:r w:rsidDel="00000000" w:rsidR="00000000" w:rsidRPr="00000000">
                    <w:rPr>
                      <w:rtl w:val="0"/>
                    </w:rPr>
                    <w:t xml:space="preserve">Rwanda : GIZ, Swiss Contact, Expertise France, RICEM, AKAZI KANOZE, IBI,EDC BRITE, etc. </w:t>
                  </w:r>
                </w:ins>
              </w:sdtContent>
            </w:sdt>
            <w:r w:rsidDel="00000000" w:rsidR="00000000" w:rsidRPr="00000000">
              <w:rPr>
                <w:rtl w:val="0"/>
              </w:rPr>
            </w:r>
          </w:p>
          <w:p w:rsidR="00000000" w:rsidDel="00000000" w:rsidP="00000000" w:rsidRDefault="00000000" w:rsidRPr="00000000" w14:paraId="0000008D">
            <w:pPr>
              <w:rPr/>
            </w:pPr>
            <w:r w:rsidDel="00000000" w:rsidR="00000000" w:rsidRPr="00000000">
              <w:rPr>
                <w:highlight w:val="yellow"/>
                <w:rtl w:val="0"/>
              </w:rPr>
              <w:t xml:space="preserve">Logos</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b w:val="1"/>
                <w:rtl w:val="0"/>
              </w:rPr>
              <w:t xml:space="preserve">Les plateformes et réseaux qui nous renforcent</w:t>
            </w:r>
            <w:r w:rsidDel="00000000" w:rsidR="00000000" w:rsidRPr="00000000">
              <w:rPr>
                <w:rtl w:val="0"/>
              </w:rPr>
              <w:t xml:space="preserve"> :  EDUCAID, ENTREPAIRS, FIABEL, CPCCAF</w:t>
            </w:r>
          </w:p>
          <w:p w:rsidR="00000000" w:rsidDel="00000000" w:rsidP="00000000" w:rsidRDefault="00000000" w:rsidRPr="00000000" w14:paraId="00000090">
            <w:pPr>
              <w:rPr/>
            </w:pPr>
            <w:r w:rsidDel="00000000" w:rsidR="00000000" w:rsidRPr="00000000">
              <w:rPr>
                <w:highlight w:val="yellow"/>
                <w:rtl w:val="0"/>
              </w:rPr>
              <w:t xml:space="preserve">Logos</w:t>
            </w:r>
            <w:r w:rsidDel="00000000" w:rsidR="00000000" w:rsidRPr="00000000">
              <w:rPr>
                <w:rtl w:val="0"/>
              </w:rPr>
            </w:r>
          </w:p>
          <w:p w:rsidR="00000000" w:rsidDel="00000000" w:rsidP="00000000" w:rsidRDefault="00000000" w:rsidRPr="00000000" w14:paraId="00000091">
            <w:pPr>
              <w:rPr>
                <w:b w:val="1"/>
              </w:rPr>
            </w:pPr>
            <w:r w:rsidDel="00000000" w:rsidR="00000000" w:rsidRPr="00000000">
              <w:rPr>
                <w:b w:val="1"/>
                <w:rtl w:val="0"/>
              </w:rPr>
              <w:t xml:space="preserve"> </w:t>
            </w:r>
          </w:p>
        </w:tc>
      </w:tr>
      <w:tr>
        <w:trPr>
          <w:cantSplit w:val="0"/>
          <w:tblHeader w:val="0"/>
        </w:trPr>
        <w:tc>
          <w:tcPr/>
          <w:p w:rsidR="00000000" w:rsidDel="00000000" w:rsidP="00000000" w:rsidRDefault="00000000" w:rsidRPr="00000000" w14:paraId="00000092">
            <w:pPr>
              <w:rPr>
                <w:b w:val="1"/>
              </w:rPr>
            </w:pPr>
            <w:r w:rsidDel="00000000" w:rsidR="00000000" w:rsidRPr="00000000">
              <w:rPr>
                <w:b w:val="1"/>
                <w:rtl w:val="0"/>
              </w:rPr>
              <w:t xml:space="preserve">Nos bailleurs </w:t>
            </w:r>
          </w:p>
          <w:p w:rsidR="00000000" w:rsidDel="00000000" w:rsidP="00000000" w:rsidRDefault="00000000" w:rsidRPr="00000000" w14:paraId="00000093">
            <w:pPr>
              <w:rPr>
                <w:b w:val="1"/>
              </w:rPr>
            </w:pPr>
            <w:r w:rsidDel="00000000" w:rsidR="00000000" w:rsidRPr="00000000">
              <w:rPr>
                <w:rtl w:val="0"/>
              </w:rPr>
            </w:r>
          </w:p>
        </w:tc>
        <w:tc>
          <w:tcPr/>
          <w:p w:rsidR="00000000" w:rsidDel="00000000" w:rsidP="00000000" w:rsidRDefault="00000000" w:rsidRPr="00000000" w14:paraId="00000094">
            <w:pPr>
              <w:rPr/>
            </w:pPr>
            <w:r w:rsidDel="00000000" w:rsidR="00000000" w:rsidRPr="00000000">
              <w:rPr>
                <w:b w:val="1"/>
                <w:rtl w:val="0"/>
              </w:rPr>
              <w:t xml:space="preserve">Les partenaires qui nous soutiennent</w:t>
            </w:r>
            <w:r w:rsidDel="00000000" w:rsidR="00000000" w:rsidRPr="00000000">
              <w:rPr>
                <w:rtl w:val="0"/>
              </w:rPr>
              <w:t xml:space="preserve"> : </w:t>
            </w:r>
          </w:p>
          <w:p w:rsidR="00000000" w:rsidDel="00000000" w:rsidP="00000000" w:rsidRDefault="00000000" w:rsidRPr="00000000" w14:paraId="00000095">
            <w:pPr>
              <w:rPr/>
            </w:pPr>
            <w:r w:rsidDel="00000000" w:rsidR="00000000" w:rsidRPr="00000000">
              <w:rPr>
                <w:rtl w:val="0"/>
              </w:rPr>
              <w:t xml:space="preserve">WBI, Fédération Wallonie Bruxelles, Wallonie, DGD, Union européenne - </w:t>
            </w:r>
            <w:r w:rsidDel="00000000" w:rsidR="00000000" w:rsidRPr="00000000">
              <w:rPr>
                <w:highlight w:val="yellow"/>
                <w:rtl w:val="0"/>
              </w:rPr>
              <w:t xml:space="preserve">Logos</w:t>
            </w:r>
            <w:r w:rsidDel="00000000" w:rsidR="00000000" w:rsidRPr="00000000">
              <w:rPr>
                <w:rtl w:val="0"/>
              </w:rPr>
            </w:r>
          </w:p>
        </w:tc>
      </w:tr>
      <w:tr>
        <w:trPr>
          <w:cantSplit w:val="0"/>
          <w:tblHeader w:val="0"/>
        </w:trPr>
        <w:tc>
          <w:tcPr/>
          <w:p w:rsidR="00000000" w:rsidDel="00000000" w:rsidP="00000000" w:rsidRDefault="00000000" w:rsidRPr="00000000" w14:paraId="00000096">
            <w:pPr>
              <w:rPr>
                <w:b w:val="1"/>
              </w:rPr>
            </w:pPr>
            <w:r w:rsidDel="00000000" w:rsidR="00000000" w:rsidRPr="00000000">
              <w:rPr>
                <w:b w:val="1"/>
                <w:rtl w:val="0"/>
              </w:rPr>
              <w:t xml:space="preserve">Identité APEFE</w:t>
            </w:r>
          </w:p>
        </w:tc>
        <w:tc>
          <w:tcPr/>
          <w:p w:rsidR="00000000" w:rsidDel="00000000" w:rsidP="00000000" w:rsidRDefault="00000000" w:rsidRPr="00000000" w14:paraId="00000097">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98">
            <w:pPr>
              <w:rPr>
                <w:b w:val="1"/>
              </w:rPr>
            </w:pPr>
            <w:r w:rsidDel="00000000" w:rsidR="00000000" w:rsidRPr="00000000">
              <w:rPr>
                <w:rFonts w:ascii="Calibri" w:cs="Calibri" w:eastAsia="Calibri" w:hAnsi="Calibri"/>
                <w:color w:val="000000"/>
                <w:rtl w:val="0"/>
              </w:rPr>
              <w:t xml:space="preserve">L’APEFE est l’agence de coopération internationale de la Fédération Wallonie-Bruxelles et de la Wallonie créée en 1976 et basée à Bruxelles.</w:t>
            </w:r>
            <w:r w:rsidDel="00000000" w:rsidR="00000000" w:rsidRPr="00000000">
              <w:rPr>
                <w:rtl w:val="0"/>
              </w:rPr>
            </w:r>
          </w:p>
          <w:p w:rsidR="00000000" w:rsidDel="00000000" w:rsidP="00000000" w:rsidRDefault="00000000" w:rsidRPr="00000000" w14:paraId="00000099">
            <w:pPr>
              <w:rPr>
                <w:b w:val="1"/>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rtl w:val="0"/>
              </w:rPr>
            </w:r>
          </w:p>
        </w:tc>
      </w:tr>
      <w:tr>
        <w:trPr>
          <w:cantSplit w:val="0"/>
          <w:tblHeader w:val="0"/>
        </w:trPr>
        <w:tc>
          <w:tcPr/>
          <w:p w:rsidR="00000000" w:rsidDel="00000000" w:rsidP="00000000" w:rsidRDefault="00000000" w:rsidRPr="00000000" w14:paraId="0000009B">
            <w:pPr>
              <w:rPr>
                <w:b w:val="1"/>
              </w:rPr>
            </w:pPr>
            <w:r w:rsidDel="00000000" w:rsidR="00000000" w:rsidRPr="00000000">
              <w:rPr>
                <w:b w:val="1"/>
                <w:rtl w:val="0"/>
              </w:rPr>
              <w:t xml:space="preserve">Contact </w:t>
            </w:r>
          </w:p>
        </w:tc>
        <w:tc>
          <w:tcPr/>
          <w:p w:rsidR="00000000" w:rsidDel="00000000" w:rsidP="00000000" w:rsidRDefault="00000000" w:rsidRPr="00000000" w14:paraId="0000009C">
            <w:pPr>
              <w:rPr>
                <w:b w:val="1"/>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rtl w:val="0"/>
              </w:rPr>
            </w:r>
          </w:p>
          <w:p w:rsidR="00000000" w:rsidDel="00000000" w:rsidP="00000000" w:rsidRDefault="00000000" w:rsidRPr="00000000" w14:paraId="0000009E">
            <w:pPr>
              <w:rPr>
                <w:b w:val="1"/>
              </w:rPr>
            </w:pPr>
            <w:r w:rsidDel="00000000" w:rsidR="00000000" w:rsidRPr="00000000">
              <w:rPr>
                <w:rtl w:val="0"/>
              </w:rPr>
            </w:r>
          </w:p>
        </w:tc>
      </w:tr>
    </w:tbl>
    <w:p w:rsidR="00000000" w:rsidDel="00000000" w:rsidP="00000000" w:rsidRDefault="00000000" w:rsidRPr="00000000" w14:paraId="0000009F">
      <w:pPr>
        <w:rPr>
          <w:b w:val="1"/>
        </w:rPr>
      </w:pPr>
      <w:r w:rsidDel="00000000" w:rsidR="00000000" w:rsidRPr="00000000">
        <w:rPr>
          <w:rtl w:val="0"/>
        </w:rPr>
      </w:r>
    </w:p>
    <w:p w:rsidR="00000000" w:rsidDel="00000000" w:rsidP="00000000" w:rsidRDefault="00000000" w:rsidRPr="00000000" w14:paraId="000000A0">
      <w:pPr>
        <w:rPr>
          <w:b w:val="1"/>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B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1774D2"/>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paragraph" w:styleId="Paragraphedeliste">
    <w:name w:val="List Paragraph"/>
    <w:basedOn w:val="Normal"/>
    <w:uiPriority w:val="34"/>
    <w:qFormat w:val="1"/>
    <w:rsid w:val="006A52BE"/>
    <w:pPr>
      <w:ind w:left="720"/>
      <w:contextualSpacing w:val="1"/>
    </w:pPr>
  </w:style>
  <w:style w:type="table" w:styleId="Grilledutableau">
    <w:name w:val="Table Grid"/>
    <w:basedOn w:val="TableauNormal"/>
    <w:uiPriority w:val="39"/>
    <w:rsid w:val="00720C5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Marquedecommentaire">
    <w:name w:val="annotation reference"/>
    <w:basedOn w:val="Policepardfaut"/>
    <w:uiPriority w:val="99"/>
    <w:semiHidden w:val="1"/>
    <w:unhideWhenUsed w:val="1"/>
    <w:rsid w:val="001F3D90"/>
    <w:rPr>
      <w:sz w:val="16"/>
      <w:szCs w:val="16"/>
    </w:rPr>
  </w:style>
  <w:style w:type="paragraph" w:styleId="Commentaire">
    <w:name w:val="annotation text"/>
    <w:basedOn w:val="Normal"/>
    <w:link w:val="CommentaireCar"/>
    <w:uiPriority w:val="99"/>
    <w:semiHidden w:val="1"/>
    <w:unhideWhenUsed w:val="1"/>
    <w:rsid w:val="001F3D90"/>
    <w:pPr>
      <w:spacing w:line="240" w:lineRule="auto"/>
    </w:pPr>
    <w:rPr>
      <w:sz w:val="20"/>
      <w:szCs w:val="20"/>
    </w:rPr>
  </w:style>
  <w:style w:type="character" w:styleId="CommentaireCar" w:customStyle="1">
    <w:name w:val="Commentaire Car"/>
    <w:basedOn w:val="Policepardfaut"/>
    <w:link w:val="Commentaire"/>
    <w:uiPriority w:val="99"/>
    <w:semiHidden w:val="1"/>
    <w:rsid w:val="001F3D90"/>
    <w:rPr>
      <w:sz w:val="20"/>
      <w:szCs w:val="20"/>
    </w:rPr>
  </w:style>
  <w:style w:type="paragraph" w:styleId="Objetducommentaire">
    <w:name w:val="annotation subject"/>
    <w:basedOn w:val="Commentaire"/>
    <w:next w:val="Commentaire"/>
    <w:link w:val="ObjetducommentaireCar"/>
    <w:uiPriority w:val="99"/>
    <w:semiHidden w:val="1"/>
    <w:unhideWhenUsed w:val="1"/>
    <w:rsid w:val="001F3D90"/>
    <w:rPr>
      <w:b w:val="1"/>
      <w:bCs w:val="1"/>
    </w:rPr>
  </w:style>
  <w:style w:type="character" w:styleId="ObjetducommentaireCar" w:customStyle="1">
    <w:name w:val="Objet du commentaire Car"/>
    <w:basedOn w:val="CommentaireCar"/>
    <w:link w:val="Objetducommentaire"/>
    <w:uiPriority w:val="99"/>
    <w:semiHidden w:val="1"/>
    <w:rsid w:val="001F3D90"/>
    <w:rPr>
      <w:b w:val="1"/>
      <w:bCs w:val="1"/>
      <w:sz w:val="20"/>
      <w:szCs w:val="20"/>
    </w:rPr>
  </w:style>
  <w:style w:type="paragraph" w:styleId="Textedebulles">
    <w:name w:val="Balloon Text"/>
    <w:basedOn w:val="Normal"/>
    <w:link w:val="TextedebullesCar"/>
    <w:uiPriority w:val="99"/>
    <w:semiHidden w:val="1"/>
    <w:unhideWhenUsed w:val="1"/>
    <w:rsid w:val="005F099C"/>
    <w:pPr>
      <w:spacing w:after="0" w:line="240" w:lineRule="auto"/>
    </w:pPr>
    <w:rPr>
      <w:rFonts w:ascii="Tahoma" w:cs="Tahoma" w:hAnsi="Tahoma"/>
      <w:sz w:val="16"/>
      <w:szCs w:val="16"/>
    </w:rPr>
  </w:style>
  <w:style w:type="character" w:styleId="TextedebullesCar" w:customStyle="1">
    <w:name w:val="Texte de bulles Car"/>
    <w:basedOn w:val="Policepardfaut"/>
    <w:link w:val="Textedebulles"/>
    <w:uiPriority w:val="99"/>
    <w:semiHidden w:val="1"/>
    <w:rsid w:val="005F099C"/>
    <w:rPr>
      <w:rFonts w:ascii="Tahoma" w:cs="Tahoma" w:hAnsi="Tahoma"/>
      <w:sz w:val="16"/>
      <w:szCs w:val="16"/>
    </w:rPr>
  </w:style>
  <w:style w:type="character" w:styleId="Accentuation">
    <w:name w:val="Emphasis"/>
    <w:basedOn w:val="Policepardfaut"/>
    <w:uiPriority w:val="20"/>
    <w:qFormat w:val="1"/>
    <w:rsid w:val="00A31D13"/>
    <w:rPr>
      <w:i w:val="1"/>
      <w:iCs w:val="1"/>
    </w:rPr>
  </w:style>
  <w:style w:type="character" w:styleId="nospace" w:customStyle="1">
    <w:name w:val="nospace"/>
    <w:basedOn w:val="Policepardfaut"/>
    <w:rsid w:val="00A31D13"/>
  </w:style>
  <w:style w:type="character" w:styleId="Lienhypertexte">
    <w:name w:val="Hyperlink"/>
    <w:basedOn w:val="Policepardfaut"/>
    <w:uiPriority w:val="99"/>
    <w:semiHidden w:val="1"/>
    <w:unhideWhenUsed w:val="1"/>
    <w:rsid w:val="00A31D13"/>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jOiLUV06t8168rZtO8QOi9ypqig==">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2022-05-25T14:54:00Z</dcterms:created>
  <dc:creator>Apefe</dc:creator>
</cp:coreProperties>
</file>